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Horace, Cheung Chun Hong</w:t>
      </w:r>
    </w:p>
    <w:p>
      <w:pPr>
        <w:spacing w:after="120"/>
        <w:jc w:val="center"/>
      </w:pPr>
      <w:r>
        <w:rPr>
          <w:sz w:val="18"/>
        </w:rPr>
        <w:t>chcheung.horace@gmail.com | (+852) 6013 6610 | linkedin.com/in/chcheunghorace</w:t>
      </w:r>
    </w:p>
    <w:p>
      <w:r>
        <w:t>Former hedge fund risk specialist building practical AI and software products. Owns requirements, implementation and verification, with experience improving workflows, coordinating stakeholders and reporting to management.</w:t>
      </w:r>
    </w:p>
    <w:p>
      <w:pPr>
        <w:pStyle w:val="Heading1"/>
        <w:spacing w:after="80"/>
        <w:pBdr>
          <w:bottom w:val="single" w:sz="5" w:space="3" w:color="000000"/>
        </w:pBdr>
      </w:pPr>
      <w:r>
        <w:t>PROFESSIONAL EXPERIENCE</w:t>
      </w:r>
    </w:p>
    <w:p>
      <w:pPr>
        <w:keepNext/>
        <w:tabs>
          <w:tab w:pos="10386" w:val="right"/>
        </w:tabs>
        <w:spacing w:after="20" w:line="250" w:lineRule="exact"/>
      </w:pPr>
      <w:r>
        <w:rPr>
          <w:b/>
          <w:i w:val="0"/>
          <w:sz w:val="21"/>
        </w:rPr>
        <w:t>Oriental Patron Investment Management</w:t>
      </w:r>
      <w:r>
        <w:rPr>
          <w:b/>
          <w:sz w:val="19"/>
        </w:rPr>
        <w:tab/>
        <w:t>Hong Kong, Central</w:t>
      </w:r>
    </w:p>
    <w:p>
      <w:pPr>
        <w:keepNext/>
        <w:tabs>
          <w:tab w:pos="10386" w:val="right"/>
        </w:tabs>
        <w:spacing w:after="20" w:line="230" w:lineRule="exact"/>
      </w:pPr>
      <w:r>
        <w:rPr>
          <w:b w:val="0"/>
          <w:i/>
          <w:sz w:val="19"/>
        </w:rPr>
        <w:t>Hedge Fund Risk Specialist, Risk Team</w:t>
      </w:r>
      <w:r>
        <w:rPr>
          <w:b w:val="0"/>
          <w:sz w:val="19"/>
        </w:rPr>
        <w:tab/>
        <w:t>Oct 2022 - Mar 2025</w:t>
      </w:r>
    </w:p>
    <w:p>
      <w:pPr>
        <w:pStyle w:val="ListBullet"/>
        <w:spacing w:after="40"/>
        <w:ind w:left="260" w:hanging="160"/>
      </w:pPr>
      <w:r>
        <w:t>Redesigned NAV reconciliation and data aggregation with VBA templates, saving 20+ hours monthly; worked with the technology team on newsletter automation.</w:t>
      </w:r>
    </w:p>
    <w:p>
      <w:pPr>
        <w:pStyle w:val="ListBullet"/>
        <w:spacing w:after="40"/>
        <w:ind w:left="260" w:hanging="160"/>
      </w:pPr>
      <w:r>
        <w:t>Monitored daily VaR, drawdown and exposure for 40+ funds in a USD 20B+ portfolio; liaised with portfolio managers to resolve mandate breaches.</w:t>
      </w:r>
    </w:p>
    <w:p>
      <w:pPr>
        <w:pStyle w:val="ListBullet"/>
        <w:spacing w:after="80"/>
        <w:ind w:left="260" w:hanging="160"/>
      </w:pPr>
      <w:r>
        <w:t>Prepared management and board risk reports, attribution and stress tests; supported cash and position reconciliation.</w:t>
      </w:r>
    </w:p>
    <w:p>
      <w:pPr>
        <w:keepNext/>
        <w:tabs>
          <w:tab w:pos="10386" w:val="right"/>
        </w:tabs>
        <w:spacing w:after="20" w:line="250" w:lineRule="exact"/>
      </w:pPr>
      <w:r>
        <w:rPr>
          <w:b/>
          <w:i w:val="0"/>
          <w:sz w:val="21"/>
        </w:rPr>
        <w:t>Assicurazioni Generali</w:t>
      </w:r>
      <w:r>
        <w:rPr>
          <w:b/>
          <w:sz w:val="19"/>
        </w:rPr>
        <w:tab/>
        <w:t>Hong Kong, Tai Koo</w:t>
      </w:r>
    </w:p>
    <w:p>
      <w:pPr>
        <w:keepNext/>
        <w:tabs>
          <w:tab w:pos="10386" w:val="right"/>
        </w:tabs>
        <w:spacing w:after="20" w:line="230" w:lineRule="exact"/>
      </w:pPr>
      <w:r>
        <w:rPr>
          <w:b w:val="0"/>
          <w:i/>
          <w:sz w:val="19"/>
        </w:rPr>
        <w:t>Risk Management Intern, Risk Analytics Team, Asia Regional Office</w:t>
      </w:r>
      <w:r>
        <w:rPr>
          <w:b w:val="0"/>
          <w:sz w:val="19"/>
        </w:rPr>
        <w:tab/>
        <w:t>Jan 2022 - May 2022</w:t>
      </w:r>
    </w:p>
    <w:p>
      <w:pPr>
        <w:pStyle w:val="ListBullet"/>
        <w:spacing w:after="80"/>
        <w:ind w:left="260" w:hanging="160"/>
      </w:pPr>
      <w:r>
        <w:t>Analysed Solvency Capital Requirement reports and explained market, insurance and interest-rate risk movements.</w:t>
      </w:r>
    </w:p>
    <w:p>
      <w:pPr>
        <w:keepNext/>
        <w:tabs>
          <w:tab w:pos="10386" w:val="right"/>
        </w:tabs>
        <w:spacing w:after="20" w:line="250" w:lineRule="exact"/>
      </w:pPr>
      <w:r>
        <w:rPr>
          <w:b/>
          <w:i w:val="0"/>
          <w:sz w:val="21"/>
        </w:rPr>
        <w:t>Guy Carpenter</w:t>
      </w:r>
      <w:r>
        <w:rPr>
          <w:b/>
          <w:sz w:val="19"/>
        </w:rPr>
        <w:tab/>
        <w:t>Hong Kong, Quarry Bay</w:t>
      </w:r>
    </w:p>
    <w:p>
      <w:pPr>
        <w:keepNext/>
        <w:tabs>
          <w:tab w:pos="10386" w:val="right"/>
        </w:tabs>
        <w:spacing w:after="20" w:line="230" w:lineRule="exact"/>
      </w:pPr>
      <w:r>
        <w:rPr>
          <w:b w:val="0"/>
          <w:i/>
          <w:sz w:val="19"/>
        </w:rPr>
        <w:t>Risk Analyst Intern, China South Treaty Department</w:t>
      </w:r>
      <w:r>
        <w:rPr>
          <w:b w:val="0"/>
          <w:sz w:val="19"/>
        </w:rPr>
        <w:tab/>
        <w:t>Oct 2021 - Dec 2021</w:t>
      </w:r>
    </w:p>
    <w:p>
      <w:pPr>
        <w:pStyle w:val="ListBullet"/>
        <w:spacing w:after="80"/>
        <w:ind w:left="260" w:hanging="160"/>
      </w:pPr>
      <w:r>
        <w:t>Analysed market and treaty data to support renewals for 10+ companies across 40+ reinsurance treaties.</w:t>
      </w:r>
    </w:p>
    <w:p>
      <w:pPr>
        <w:keepNext/>
        <w:tabs>
          <w:tab w:pos="10386" w:val="right"/>
        </w:tabs>
        <w:spacing w:after="20" w:line="250" w:lineRule="exact"/>
      </w:pPr>
      <w:r>
        <w:rPr>
          <w:b/>
          <w:i w:val="0"/>
          <w:sz w:val="21"/>
        </w:rPr>
        <w:t>FWD Life Insurance Company</w:t>
      </w:r>
      <w:r>
        <w:rPr>
          <w:b/>
          <w:sz w:val="19"/>
        </w:rPr>
        <w:tab/>
        <w:t>Hong Kong, Sheung Wan</w:t>
      </w:r>
    </w:p>
    <w:p>
      <w:pPr>
        <w:keepNext/>
        <w:tabs>
          <w:tab w:pos="10386" w:val="right"/>
        </w:tabs>
        <w:spacing w:after="20" w:line="230" w:lineRule="exact"/>
      </w:pPr>
      <w:r>
        <w:rPr>
          <w:b w:val="0"/>
          <w:i/>
          <w:sz w:val="19"/>
        </w:rPr>
        <w:t>Actuarial Intern, Valuation and Par Management Teams</w:t>
      </w:r>
      <w:r>
        <w:rPr>
          <w:b w:val="0"/>
          <w:sz w:val="19"/>
        </w:rPr>
        <w:tab/>
        <w:t>Jan 2021 - Sep 2021</w:t>
      </w:r>
    </w:p>
    <w:p>
      <w:pPr>
        <w:pStyle w:val="ListBullet"/>
        <w:spacing w:after="80"/>
        <w:ind w:left="260" w:hanging="160"/>
      </w:pPr>
      <w:r>
        <w:t>Extracted and analysed 10M+ records with Access SQL for lapse monitoring; enhanced a dividend valuation model with VBA.</w:t>
      </w:r>
    </w:p>
    <w:p>
      <w:pPr>
        <w:pStyle w:val="Heading1"/>
        <w:spacing w:after="80"/>
        <w:pBdr>
          <w:bottom w:val="single" w:sz="5" w:space="3" w:color="000000"/>
        </w:pBdr>
      </w:pPr>
      <w:r>
        <w:t>AI SIDE PROJECTS</w:t>
      </w:r>
    </w:p>
    <w:p>
      <w:pPr>
        <w:pStyle w:val="Heading2"/>
      </w:pPr>
      <w:r>
        <w:t>SYNKIFY (a product of PropTradeTalk)</w:t>
      </w:r>
    </w:p>
    <w:p>
      <w:pPr>
        <w:pStyle w:val="ListBullet"/>
        <w:spacing w:after="40"/>
        <w:ind w:left="260" w:hanging="160"/>
      </w:pPr>
      <w:r>
        <w:t>Translated trading requirements into an all-in-one journal with trade imports, review, chart replay, risk analytics and session planning.</w:t>
      </w:r>
    </w:p>
    <w:p>
      <w:pPr>
        <w:pStyle w:val="ListBullet"/>
        <w:spacing w:after="40"/>
        <w:ind w:left="260" w:hanging="160"/>
      </w:pPr>
      <w:r>
        <w:t>Built MT5 history integration and private account storage using AI-assisted development; verified calculations, browser flows and account isolation.</w:t>
      </w:r>
    </w:p>
    <w:p>
      <w:pPr>
        <w:spacing w:after="60"/>
        <w:ind w:left="260"/>
      </w:pPr>
      <w:r>
        <w:rPr>
          <w:b/>
        </w:rPr>
        <w:t xml:space="preserve">Technology: </w:t>
      </w:r>
      <w:r>
        <w:t>TypeScript, React, Next.js / Vinext, Supabase, Cloudflare, Lightweight Charts.</w:t>
      </w:r>
    </w:p>
    <w:p>
      <w:pPr>
        <w:pStyle w:val="Heading2"/>
      </w:pPr>
      <w:r>
        <w:t>Receipt OCR</w:t>
      </w:r>
    </w:p>
    <w:p>
      <w:pPr>
        <w:pStyle w:val="ListBullet"/>
        <w:spacing w:after="40"/>
        <w:ind w:left="260" w:hanging="160"/>
      </w:pPr>
      <w:r>
        <w:t>Built receipt capture, AI extraction, human review and spending analysis for 406 personal receipts and 1,138 line items.</w:t>
      </w:r>
    </w:p>
    <w:p>
      <w:pPr>
        <w:pStyle w:val="ListBullet"/>
        <w:spacing w:after="40"/>
        <w:ind w:left="260" w:hanging="160"/>
      </w:pPr>
      <w:r>
        <w:t>Selected Gemini vision and configurable OpenCode; verified fields, totals and line items against source images.</w:t>
      </w:r>
    </w:p>
    <w:p>
      <w:pPr>
        <w:spacing w:after="60"/>
        <w:ind w:left="260"/>
      </w:pPr>
      <w:r>
        <w:rPr>
          <w:b/>
        </w:rPr>
        <w:t xml:space="preserve">Technology: </w:t>
      </w:r>
      <w:r>
        <w:t>TypeScript, Next.js, Gemini, OpenCode, Supabase Postgres / Storage, Zod.</w:t>
      </w:r>
    </w:p>
    <w:p>
      <w:pPr>
        <w:pStyle w:val="Heading2"/>
      </w:pPr>
      <w:r>
        <w:t>PropTradeTalk</w:t>
      </w:r>
    </w:p>
    <w:p>
      <w:pPr>
        <w:pStyle w:val="ListBullet"/>
        <w:spacing w:after="40"/>
        <w:ind w:left="260" w:hanging="160"/>
      </w:pPr>
      <w:r>
        <w:t>Built a trading-evaluation research and education platform, designed for scheduled daily rule and pricing extraction with source verification.</w:t>
      </w:r>
    </w:p>
    <w:p>
      <w:pPr>
        <w:spacing w:after="60"/>
        <w:ind w:left="260"/>
      </w:pPr>
      <w:r>
        <w:rPr>
          <w:b/>
        </w:rPr>
        <w:t xml:space="preserve">Technology: </w:t>
      </w:r>
      <w:r>
        <w:t>TypeScript, React, Cloudflare Workers / D1.</w:t>
      </w:r>
    </w:p>
    <w:p>
      <w:pPr>
        <w:pStyle w:val="Heading1"/>
        <w:spacing w:after="80"/>
        <w:pBdr>
          <w:bottom w:val="single" w:sz="5" w:space="3" w:color="000000"/>
        </w:pBdr>
      </w:pPr>
      <w:r>
        <w:t>EDUCATION AND QUALIFICATIONS</w:t>
      </w:r>
    </w:p>
    <w:p>
      <w:pPr>
        <w:keepNext/>
        <w:tabs>
          <w:tab w:pos="10386" w:val="right"/>
        </w:tabs>
        <w:spacing w:after="20" w:line="250" w:lineRule="exact"/>
      </w:pPr>
      <w:r>
        <w:rPr>
          <w:b/>
          <w:i w:val="0"/>
          <w:sz w:val="21"/>
        </w:rPr>
        <w:t>The Chinese University of Hong Kong</w:t>
      </w:r>
      <w:r>
        <w:rPr>
          <w:b w:val="0"/>
          <w:sz w:val="19"/>
        </w:rPr>
        <w:tab/>
        <w:t>Sep 2017 - Jun 2022</w:t>
      </w:r>
    </w:p>
    <w:p>
      <w:pPr>
        <w:pStyle w:val="ListBullet"/>
        <w:spacing w:after="40"/>
        <w:ind w:left="260" w:hanging="160"/>
      </w:pPr>
      <w:r>
        <w:t>Bachelor of Science, Risk Management Science; Minors in Finance and Statistics</w:t>
      </w:r>
    </w:p>
    <w:p>
      <w:pPr>
        <w:keepNext/>
        <w:spacing w:before="40"/>
      </w:pPr>
      <w:r>
        <w:rPr>
          <w:i/>
        </w:rPr>
        <w:t>Professional qualifications</w:t>
      </w:r>
    </w:p>
    <w:p>
      <w:pPr>
        <w:pStyle w:val="ListBullet"/>
        <w:tabs>
          <w:tab w:pos="10386" w:val="right"/>
        </w:tabs>
        <w:spacing w:after="40"/>
        <w:ind w:left="260" w:hanging="160"/>
      </w:pPr>
      <w:r>
        <w:t>Financial Risk Manager (FRM) Part I - Passed</w:t>
      </w:r>
      <w:r>
        <w:tab/>
        <w:t>2021</w:t>
      </w:r>
    </w:p>
    <w:p>
      <w:pPr>
        <w:pStyle w:val="ListBullet"/>
        <w:tabs>
          <w:tab w:pos="10386" w:val="right"/>
        </w:tabs>
        <w:spacing w:after="40"/>
        <w:ind w:left="260" w:hanging="160"/>
      </w:pPr>
      <w:r>
        <w:t>Henley Executive Hedge Fund Program</w:t>
      </w:r>
      <w:r>
        <w:tab/>
        <w:t>2023</w:t>
      </w:r>
    </w:p>
    <w:p>
      <w:pPr>
        <w:pStyle w:val="ListBullet"/>
        <w:tabs>
          <w:tab w:pos="10386" w:val="right"/>
        </w:tabs>
        <w:spacing w:after="40"/>
        <w:ind w:left="260" w:hanging="160"/>
      </w:pPr>
      <w:r>
        <w:t>Google Data Analytics Specialization</w:t>
      </w:r>
      <w:r>
        <w:tab/>
        <w:t>2022</w:t>
      </w:r>
    </w:p>
    <w:p>
      <w:pPr>
        <w:pStyle w:val="ListBullet"/>
        <w:tabs>
          <w:tab w:pos="10386" w:val="right"/>
        </w:tabs>
        <w:spacing w:after="40"/>
        <w:ind w:left="260" w:hanging="160"/>
      </w:pPr>
      <w:r>
        <w:t>DataCamp Data Analyst with Python track - Completed</w:t>
      </w:r>
      <w:r>
        <w:tab/>
        <w:t>2022</w:t>
      </w:r>
    </w:p>
    <w:p>
      <w:pPr>
        <w:pStyle w:val="Heading1"/>
        <w:spacing w:after="80"/>
        <w:pBdr>
          <w:bottom w:val="single" w:sz="5" w:space="3" w:color="000000"/>
        </w:pBdr>
      </w:pPr>
      <w:r>
        <w:t>SKILLS AND DOMAIN KNOWLEDGE</w:t>
      </w:r>
    </w:p>
    <w:p>
      <w:pPr>
        <w:pStyle w:val="ListBullet"/>
        <w:spacing w:after="40"/>
        <w:ind w:left="260" w:hanging="160"/>
      </w:pPr>
      <w:r>
        <w:rPr>
          <w:b/>
        </w:rPr>
        <w:t xml:space="preserve">Technical: </w:t>
      </w:r>
      <w:r>
        <w:t>Python, SQL, VBA, Excel, Access, Tableau, Word, PowerPoint.</w:t>
      </w:r>
    </w:p>
    <w:p>
      <w:pPr>
        <w:pStyle w:val="ListBullet"/>
        <w:spacing w:after="40"/>
        <w:ind w:left="260" w:hanging="160"/>
      </w:pPr>
      <w:r>
        <w:rPr>
          <w:b/>
        </w:rPr>
        <w:t xml:space="preserve">AI and project delivery: </w:t>
      </w:r>
      <w:r>
        <w:t>Requirements, workflow design, AI-assisted implementation, output validation, browser testing, data privacy.</w:t>
      </w:r>
    </w:p>
    <w:p>
      <w:pPr>
        <w:pStyle w:val="ListBullet"/>
        <w:spacing w:after="40"/>
        <w:ind w:left="260" w:hanging="160"/>
      </w:pPr>
      <w:r>
        <w:rPr>
          <w:b/>
        </w:rPr>
        <w:t xml:space="preserve">Stakeholder coordination: </w:t>
      </w:r>
      <w:r>
        <w:t>Portfolio-manager liaison, technology-team collaboration, management reporting, documentation.</w:t>
      </w:r>
    </w:p>
    <w:p>
      <w:pPr>
        <w:pStyle w:val="ListBullet"/>
        <w:spacing w:after="40"/>
        <w:ind w:left="260" w:hanging="160"/>
      </w:pPr>
      <w:r>
        <w:rPr>
          <w:b/>
        </w:rPr>
        <w:t xml:space="preserve">Financial domain: </w:t>
      </w:r>
      <w:r>
        <w:t>Hedge fund risk, finance, insurance, reinsurance, actuarial analysis, trading.</w:t>
      </w:r>
    </w:p>
    <w:p>
      <w:pPr>
        <w:pStyle w:val="ListBullet"/>
        <w:spacing w:after="40"/>
        <w:ind w:left="260" w:hanging="160"/>
      </w:pPr>
      <w:r>
        <w:rPr>
          <w:b/>
        </w:rPr>
        <w:t xml:space="preserve">Portfolio and risk systems: </w:t>
      </w:r>
      <w:r>
        <w:t>Bloomberg, Refinitiv Eikon, StatPro, Linedata and Enfusion.</w:t>
      </w:r>
    </w:p>
    <w:p>
      <w:pPr>
        <w:pStyle w:val="ListBullet"/>
        <w:spacing w:after="40"/>
        <w:ind w:left="260" w:hanging="160"/>
      </w:pPr>
      <w:r>
        <w:rPr>
          <w:b/>
        </w:rPr>
        <w:t xml:space="preserve">Independent trading: </w:t>
      </w:r>
      <w:r>
        <w:t>Passed FTMO's two-stage 200K evaluation; Overall Rewards certificate of $44,317.28 (24 Jul 2025).</w:t>
      </w:r>
    </w:p>
    <w:sectPr w:rsidR="00FC693F" w:rsidRPr="0006063C" w:rsidSect="00034616">
      <w:pgSz w:w="11906" w:h="16838"/>
      <w:pgMar w:top="760" w:right="760" w:bottom="640" w:left="7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30" w:lineRule="exact" w:after="60" w:before="0"/>
    </w:pPr>
    <w:rPr>
      <w:rFonts w:ascii="Times New Roman" w:hAnsi="Times New Roman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80" w:after="60" w:line="280" w:lineRule="exac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60" w:line="250" w:lineRule="exac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pBdr>
        <w:bottom w:val="single" w:sz="8" w:space="4" w:color="4F81BD" w:themeColor="accent1"/>
      </w:pBdr>
      <w:spacing w:after="60" w:line="380" w:lineRule="exact" w:before="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30" w:lineRule="exact" w:after="60" w:before="0"/>
      <w:contextualSpacing/>
    </w:pPr>
    <w:rPr>
      <w:rFonts w:ascii="Times New Roman" w:hAnsi="Times New Roman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Horace Cheung - Wistkey Assistant Project Manager CV</dc:title>
  <dc:subject/>
  <dc:creator>Horace Cheung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